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162" w:rsidRPr="00586162" w:rsidRDefault="00586162" w:rsidP="0058616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proofErr w:type="spellStart"/>
      <w:r w:rsidRPr="00586162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Parlamentul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Romaniei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 </w:t>
      </w:r>
    </w:p>
    <w:p w:rsidR="00586162" w:rsidRPr="00586162" w:rsidRDefault="00586162" w:rsidP="0058616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</w:pP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Hotararea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9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din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9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martie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2009 </w:t>
      </w:r>
    </w:p>
    <w:p w:rsidR="00586162" w:rsidRPr="00586162" w:rsidRDefault="00586162" w:rsidP="0058616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</w:pPr>
      <w:proofErr w:type="spellStart"/>
      <w:proofErr w:type="gram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privind</w:t>
      </w:r>
      <w:proofErr w:type="spellEnd"/>
      <w:proofErr w:type="gram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infiintarea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unei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Comisii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speciale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comune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pentru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dezbaterea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in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fond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, in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procedura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urgenta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, a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Codului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penal, a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Codului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procedura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penala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, a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Codului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civil si a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Codului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procedura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>civila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  <w:t xml:space="preserve"> </w:t>
      </w:r>
    </w:p>
    <w:p w:rsidR="00586162" w:rsidRPr="00586162" w:rsidRDefault="00586162" w:rsidP="00586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Publicat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hyperlink r:id="rId4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Monitorul</w:t>
        </w:r>
        <w:proofErr w:type="spellEnd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Oficial 154 </w:t>
        </w:r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din</w:t>
        </w:r>
        <w:proofErr w:type="spellEnd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12 </w:t>
        </w:r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martie</w:t>
        </w:r>
        <w:proofErr w:type="spellEnd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2009 (M. Of. 154/2009)</w:t>
        </w:r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586162" w:rsidRPr="00586162" w:rsidRDefault="00586162" w:rsidP="00586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LegeStart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prezinta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actul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doar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varianta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publicata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Monitorul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Oficial.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versiunea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consolidata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actului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va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recomandam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consultati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5" w:tgtFrame="_blank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Indaco</w:t>
        </w:r>
        <w:proofErr w:type="spellEnd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LEGE Online</w:t>
        </w:r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Textele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format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electronic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actelor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normative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publicate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site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formeaza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obiectul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dreptului</w:t>
      </w:r>
      <w:proofErr w:type="spellEnd"/>
      <w:r w:rsidRPr="0058616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de autor</w:t>
      </w: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INDACO SYSTEMS si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copierea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/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distribuirea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/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republicarea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acestora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ilegala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detalii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consultati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6" w:tooltip="Citeste termenii si conditiile de utilizare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Termenii</w:t>
        </w:r>
        <w:proofErr w:type="spellEnd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si </w:t>
        </w:r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conditiile</w:t>
        </w:r>
        <w:proofErr w:type="spellEnd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de utilizare</w:t>
        </w:r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site-ului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temeiul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72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7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Regulamentul</w:t>
        </w:r>
        <w:proofErr w:type="spellEnd"/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Camerei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aprobat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Hotararea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Camerei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8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nr</w:t>
        </w:r>
        <w:proofErr w:type="spellEnd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. 8/1994</w:t>
        </w:r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republicat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Monitorul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Oficial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Romaniei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Partea I,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nr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35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16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ianuarie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2006,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modificarile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ulterioare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si al art. 44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9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Regulamentul</w:t>
        </w:r>
        <w:proofErr w:type="spellEnd"/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aprobat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Hotarirea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10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nr</w:t>
        </w:r>
        <w:proofErr w:type="spellEnd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. 28/2005</w:t>
        </w:r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Parlamentul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Romaniei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adopta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prezenta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hotarare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0" w:name="art1"/>
      <w:bookmarkEnd w:id="0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Art. 1. - Se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incuviinteaza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infiintarea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unei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speciale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comune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dezbaterea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fond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procedura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urgenta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a </w:t>
      </w:r>
      <w:hyperlink r:id="rId11" w:anchor="art1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Codului</w:t>
        </w:r>
        <w:proofErr w:type="spellEnd"/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penal, a </w:t>
      </w:r>
      <w:hyperlink r:id="rId12" w:anchor="art1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Codului</w:t>
        </w:r>
        <w:proofErr w:type="spellEnd"/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procedura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a </w:t>
      </w:r>
      <w:hyperlink r:id="rId13" w:anchor="art1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Codului</w:t>
        </w:r>
        <w:proofErr w:type="spellEnd"/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civil si a </w:t>
      </w:r>
      <w:hyperlink r:id="rId14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Codului</w:t>
        </w:r>
        <w:proofErr w:type="spellEnd"/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procedura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civila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denumita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continuare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1" w:name="art2"/>
      <w:bookmarkEnd w:id="1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Art. 2. -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formata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25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parlamentari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numiti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respectarea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configuratiei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politice 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Camerei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componenta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nominala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fiind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prezentata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anexa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face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parte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integranta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prezenta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hotarare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2" w:name="art3"/>
      <w:bookmarkEnd w:id="2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Art. 3. -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Conducerea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formata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dintr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-un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presedinte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un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vicepresedinte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un secretar.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3" w:name="art4"/>
      <w:bookmarkEnd w:id="3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Art. 4. -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conditiile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unul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dintre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membrii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afla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imposibilitatea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a participa la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lucrari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face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parte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poate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desemna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inlocuitor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4" w:name="art5"/>
      <w:bookmarkEnd w:id="4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Art. 5. -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(1)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Convocarea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sedintelor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face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cel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putin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zi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inainte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de catre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presedintele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acesteia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catre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vicepresedinte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86162" w:rsidRPr="00586162" w:rsidRDefault="00586162" w:rsidP="005861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(2)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Vicepresedintele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inlocuieste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drept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presedinte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lipa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acestuia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ori de cate ori este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nevoie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5" w:name="art6"/>
      <w:bookmarkEnd w:id="5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Art. 6. -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(1)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sedintele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desfasoare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regulamentar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necesara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participarea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majoritatii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compun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(2)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Hotararile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adopta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votul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majoritatii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acesteia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6" w:name="art7"/>
      <w:bookmarkEnd w:id="6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   Art. 7. -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Lucrarile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sunt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publice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exceptia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cazurilor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plenul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acesteia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prevede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altfel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Lucrarile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pot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fi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transmise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reteaua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interna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televiziune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Camerei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la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posturile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radio si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televiziune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7" w:name="art8"/>
      <w:bookmarkEnd w:id="7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Art. 8. -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(1)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isi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constituie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doua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subcomisii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conduse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presedintele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respectiv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vicepresedintele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acesteia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O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subcomisie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va examina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Codul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 si </w:t>
      </w:r>
      <w:hyperlink r:id="rId15" w:anchor="art1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Codul</w:t>
        </w:r>
        <w:proofErr w:type="spellEnd"/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procedura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iar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cealalta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va examina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Codul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civil si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Codul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procedura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civila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Numarul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fiecarei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subcomisii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stabileste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biroul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(2)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Lucrarile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ale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subcomisiilor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desfasoara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spatiul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alocat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juridice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de disciplina si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imunitati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Camerei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respectiv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juridice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numiri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disciplina,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imunitati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validari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utilizandu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-se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mod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corespunzator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personalul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logistica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acestora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8" w:name="art9"/>
      <w:bookmarkEnd w:id="8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Art. 9. -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aplicarea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prevederilor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92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(9)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16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Regulamentul</w:t>
        </w:r>
        <w:proofErr w:type="spellEnd"/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Camerei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aprobat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Hotararea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Camerei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17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nr</w:t>
        </w:r>
        <w:proofErr w:type="spellEnd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. 8/1994</w:t>
        </w:r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republicat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Monitorul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Oficial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Romaniei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Partea I,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nr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35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16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ianuarie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2006,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modificarile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ulterioare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si ale art. 88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(7)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18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Regulamentul</w:t>
        </w:r>
        <w:proofErr w:type="spellEnd"/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aprobat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Hotararea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19" w:history="1">
        <w:proofErr w:type="spellStart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nr</w:t>
        </w:r>
        <w:proofErr w:type="spellEnd"/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. 28/2005</w:t>
        </w:r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concluziile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propunerile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vor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face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obiectul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raport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va fi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depus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Biroul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permanent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prima Camera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sesizata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pana la data de 30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aprilie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2009,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vederea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dezbaterii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sale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plen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86162" w:rsidRPr="00586162" w:rsidRDefault="00586162" w:rsidP="005861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Aceasta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hotarare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adoptata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Parlamentul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Romaniei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respectarea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prevederilor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20" w:anchor="art76" w:history="1">
        <w:r w:rsidRPr="005861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art. 76</w:t>
        </w:r>
      </w:hyperlink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(2)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Constitutia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Romaniei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republicata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586162" w:rsidRPr="00586162" w:rsidTr="0058616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6162" w:rsidRPr="00586162" w:rsidRDefault="00586162" w:rsidP="00586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  <w:r w:rsidRPr="00586162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PRESEDINTELE CAMEREI DEPUTATILOR                          PRESEDINTELE SENATULUI</w:t>
            </w:r>
            <w:r w:rsidRPr="00586162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br/>
              <w:t xml:space="preserve">     ROBERTA ALMA ANASTASE                                  MIRCEA-DAN GEOANA</w:t>
            </w:r>
            <w:r w:rsidRPr="00586162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br/>
              <w:t xml:space="preserve"> </w:t>
            </w:r>
          </w:p>
        </w:tc>
      </w:tr>
    </w:tbl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Bucuresti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9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martie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2009.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Nr.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9.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86162" w:rsidRPr="00586162" w:rsidRDefault="00586162" w:rsidP="005861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9" w:name="anx"/>
      <w:bookmarkEnd w:id="9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ANEXA</w:t>
      </w: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  </w:t>
      </w:r>
    </w:p>
    <w:p w:rsidR="00586162" w:rsidRPr="00586162" w:rsidRDefault="00586162" w:rsidP="005861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COMPONENTA NOMINALA</w:t>
      </w: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Comisiei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speciale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comune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dezbaterea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fond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procedura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urgenta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Codului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penal, 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Codului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procedura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Codului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civil si 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Codului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procedura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civila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P.D.-L. - 8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1.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Andronache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Gabriel,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P.D.-L.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2. Buda Daniel,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P.D.-L.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3.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Urban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Iulian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P.D.-L.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4.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Ruset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Ion,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P.D.-L.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5.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Boldea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Mihail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P.D.-L.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6.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Stirbet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Cornel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P.D.-L.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7.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Humelnicu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Augustin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Daniel,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P.D.-L.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8.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Andrei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Florin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Mircea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P.D.-L.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Aliantei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politice P.S.D.+P.C. - 8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   1.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Ciuca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Liviu-Bogdan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Aliantei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politice P.S.D.+P.C.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2.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Sova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Dan Coman,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Aliantei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politice P.S.D.+P.C.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3.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Chelaru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Ioan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Aliantei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politice P.S.D.+P.C.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4.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Tutuianu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Adrian,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Aliantei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politice P.S.D.+P.C.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5. Ponta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Victor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Viorel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Aliantei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politice P.S.D.+P.C.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6.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Andon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Sergiu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Aliantei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politice P.S.D.+P.C.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7.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Iordache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Florin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Aliantei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politice P.S.D.+P.C.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8.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Grebla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Toni,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Aliantei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politice P.S.D.+P.C.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P.N.L. - 5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1.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Gorghiu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Alina,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P.N.L.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2.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Gabor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Gheorghe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P.N.L.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3.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Chiuariu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Tudor,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P.N.L.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4.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Dobre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Ciprian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P.N.L.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5.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Timis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Ioan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P.N.L.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U.D.M.R. - 3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1.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Cseke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Attila-Zoltan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senator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U.D.M.R.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2.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Marton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Arpad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Francisc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U.D.M.R.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3. Mate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Andras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Levente,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U.D.M.R.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minoritatilor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nationale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- 1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586162" w:rsidRPr="00586162" w:rsidRDefault="00586162" w:rsidP="0058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  1.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Dumitrescu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Liana,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deputat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membru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Grupului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parlamentar al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minoritatilor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>nationale</w:t>
      </w:r>
      <w:proofErr w:type="spellEnd"/>
      <w:r w:rsidRPr="005861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C1B59" w:rsidRDefault="002C1B59"/>
    <w:sectPr w:rsidR="002C1B59" w:rsidSect="002C1B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6162"/>
    <w:rsid w:val="002C1B59"/>
    <w:rsid w:val="00586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B59"/>
  </w:style>
  <w:style w:type="paragraph" w:styleId="Ttulo1">
    <w:name w:val="heading 1"/>
    <w:basedOn w:val="Normal"/>
    <w:link w:val="Ttulo1Car"/>
    <w:uiPriority w:val="9"/>
    <w:qFormat/>
    <w:rsid w:val="005861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5861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86162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586162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86162"/>
    <w:rPr>
      <w:color w:val="0000FF"/>
      <w:u w:val="single"/>
    </w:rPr>
  </w:style>
  <w:style w:type="paragraph" w:customStyle="1" w:styleId="meta">
    <w:name w:val="meta"/>
    <w:basedOn w:val="Normal"/>
    <w:rsid w:val="00586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ate">
    <w:name w:val="date"/>
    <w:basedOn w:val="Normal"/>
    <w:rsid w:val="00586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586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86162"/>
    <w:rPr>
      <w:b/>
      <w:bCs/>
    </w:rPr>
  </w:style>
  <w:style w:type="character" w:customStyle="1" w:styleId="stpreambul">
    <w:name w:val="st_preambul"/>
    <w:basedOn w:val="Fuentedeprrafopredeter"/>
    <w:rsid w:val="00586162"/>
  </w:style>
  <w:style w:type="character" w:customStyle="1" w:styleId="sttpreambul">
    <w:name w:val="st_tpreambul"/>
    <w:basedOn w:val="Fuentedeprrafopredeter"/>
    <w:rsid w:val="00586162"/>
  </w:style>
  <w:style w:type="character" w:customStyle="1" w:styleId="start">
    <w:name w:val="st_art"/>
    <w:basedOn w:val="Fuentedeprrafopredeter"/>
    <w:rsid w:val="00586162"/>
  </w:style>
  <w:style w:type="character" w:customStyle="1" w:styleId="sttart">
    <w:name w:val="st_tart"/>
    <w:basedOn w:val="Fuentedeprrafopredeter"/>
    <w:rsid w:val="00586162"/>
  </w:style>
  <w:style w:type="character" w:customStyle="1" w:styleId="stalineat">
    <w:name w:val="st_alineat"/>
    <w:basedOn w:val="Fuentedeprrafopredeter"/>
    <w:rsid w:val="00586162"/>
  </w:style>
  <w:style w:type="character" w:customStyle="1" w:styleId="sttalineat">
    <w:name w:val="st_talineat"/>
    <w:basedOn w:val="Fuentedeprrafopredeter"/>
    <w:rsid w:val="00586162"/>
  </w:style>
  <w:style w:type="character" w:customStyle="1" w:styleId="stpar">
    <w:name w:val="st_par"/>
    <w:basedOn w:val="Fuentedeprrafopredeter"/>
    <w:rsid w:val="00586162"/>
  </w:style>
  <w:style w:type="character" w:customStyle="1" w:styleId="sttpar">
    <w:name w:val="st_tpar"/>
    <w:basedOn w:val="Fuentedeprrafopredeter"/>
    <w:rsid w:val="00586162"/>
  </w:style>
  <w:style w:type="character" w:customStyle="1" w:styleId="sttabel">
    <w:name w:val="st_tabel"/>
    <w:basedOn w:val="Fuentedeprrafopredeter"/>
    <w:rsid w:val="00586162"/>
  </w:style>
  <w:style w:type="paragraph" w:styleId="HTMLconformatoprevio">
    <w:name w:val="HTML Preformatted"/>
    <w:basedOn w:val="Normal"/>
    <w:link w:val="HTMLconformatoprevioCar"/>
    <w:uiPriority w:val="99"/>
    <w:unhideWhenUsed/>
    <w:rsid w:val="005861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586162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stanx">
    <w:name w:val="st_anx"/>
    <w:basedOn w:val="Fuentedeprrafopredeter"/>
    <w:rsid w:val="00586162"/>
  </w:style>
  <w:style w:type="character" w:customStyle="1" w:styleId="sttanx">
    <w:name w:val="st_tanx"/>
    <w:basedOn w:val="Fuentedeprrafopredeter"/>
    <w:rsid w:val="00586162"/>
  </w:style>
  <w:style w:type="character" w:customStyle="1" w:styleId="stpunct">
    <w:name w:val="st_punct"/>
    <w:basedOn w:val="Fuentedeprrafopredeter"/>
    <w:rsid w:val="00586162"/>
  </w:style>
  <w:style w:type="character" w:customStyle="1" w:styleId="sttpunct">
    <w:name w:val="st_tpunct"/>
    <w:basedOn w:val="Fuentedeprrafopredeter"/>
    <w:rsid w:val="00586162"/>
  </w:style>
  <w:style w:type="paragraph" w:styleId="Textodeglobo">
    <w:name w:val="Balloon Text"/>
    <w:basedOn w:val="Normal"/>
    <w:link w:val="TextodegloboCar"/>
    <w:uiPriority w:val="99"/>
    <w:semiHidden/>
    <w:unhideWhenUsed/>
    <w:rsid w:val="0058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61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5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77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55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9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7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16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4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4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2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2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0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13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67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98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6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2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53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49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4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90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64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05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75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2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81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7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74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1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91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1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58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6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08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3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33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9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6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8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34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1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92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7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71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8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17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8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84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5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14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9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1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8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78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1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02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47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3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1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1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9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99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4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1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32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4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1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78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57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7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63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3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9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9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49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56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2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4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20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27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47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37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9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53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estart.ro/Hotararea-8-1994-aprobarea-Regulamentului-Camerei-Deputatilor-%28MTUyNDU-%29.htm" TargetMode="External"/><Relationship Id="rId13" Type="http://schemas.openxmlformats.org/officeDocument/2006/relationships/hyperlink" Target="http://www.legestart.ro/Codul-Civil-1993-Romaniei-%28MTQzMTk-%29.htm" TargetMode="External"/><Relationship Id="rId18" Type="http://schemas.openxmlformats.org/officeDocument/2006/relationships/hyperlink" Target="http://www.legestart.ro/Regulamentul-2005-Senatului-%28MTY1NTkw%29.htm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legestart.ro/Regulamentul-1994-al-Camerei-Deputatilor-%28MTc4NTU2%29.htm" TargetMode="External"/><Relationship Id="rId12" Type="http://schemas.openxmlformats.org/officeDocument/2006/relationships/hyperlink" Target="http://www.legestart.ro/Codul-de-Procedura-Penala-1997-Romaniei-%28MTQ0MDI-%29.htm" TargetMode="External"/><Relationship Id="rId17" Type="http://schemas.openxmlformats.org/officeDocument/2006/relationships/hyperlink" Target="http://www.legestart.ro/Hotararea-8-1994-aprobarea-Regulamentului-Camerei-Deputatilor-%28MTUyNDU-%29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legestart.ro/Regulamentul-1994-al-Camerei-Deputatilor-%28MTc4NTU2%29.htm" TargetMode="External"/><Relationship Id="rId20" Type="http://schemas.openxmlformats.org/officeDocument/2006/relationships/hyperlink" Target="http://www.legestart.ro/Constitutia-2003-Romaniei-%28MTM0Mjc-%29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egestart.ro/termeni-si-conditii-utilizare.htm" TargetMode="External"/><Relationship Id="rId11" Type="http://schemas.openxmlformats.org/officeDocument/2006/relationships/hyperlink" Target="http://www.legestart.ro/Codul-Penal-1997-Romaniei-%28MTM1ODA-%29.htm" TargetMode="External"/><Relationship Id="rId5" Type="http://schemas.openxmlformats.org/officeDocument/2006/relationships/hyperlink" Target="http://www.indaco.ro/produseLegeOnline.html" TargetMode="External"/><Relationship Id="rId15" Type="http://schemas.openxmlformats.org/officeDocument/2006/relationships/hyperlink" Target="http://www.legestart.ro/Codul-de-Procedura-Penala-1997-Romaniei-%28MTQ0MDI-%29.htm" TargetMode="External"/><Relationship Id="rId10" Type="http://schemas.openxmlformats.org/officeDocument/2006/relationships/hyperlink" Target="http://www.legestart.ro/Hotararea-28-2005-Regulamentul-Senatului-%28MTY1NTg5%29.htm" TargetMode="External"/><Relationship Id="rId19" Type="http://schemas.openxmlformats.org/officeDocument/2006/relationships/hyperlink" Target="http://www.legestart.ro/Hotararea-28-2005-Regulamentul-Senatului-%28MTY1NTg5%29.htm" TargetMode="External"/><Relationship Id="rId4" Type="http://schemas.openxmlformats.org/officeDocument/2006/relationships/hyperlink" Target="http://www.legestart.ro/Monitorul-Oficial-154-din-12.03.2009-%28M.-Of.-154-2009-13977%29.htm" TargetMode="External"/><Relationship Id="rId9" Type="http://schemas.openxmlformats.org/officeDocument/2006/relationships/hyperlink" Target="http://www.legestart.ro/Regulamentul-2005-Senatului-%28MTY1NTkw%29.htm" TargetMode="External"/><Relationship Id="rId14" Type="http://schemas.openxmlformats.org/officeDocument/2006/relationships/hyperlink" Target="JavaScript:lnk_ex(14404,'art1');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1298</Words>
  <Characters>7142</Characters>
  <Application>Microsoft Office Word</Application>
  <DocSecurity>0</DocSecurity>
  <Lines>59</Lines>
  <Paragraphs>16</Paragraphs>
  <ScaleCrop>false</ScaleCrop>
  <Company>Mobile</Company>
  <LinksUpToDate>false</LinksUpToDate>
  <CharactersWithSpaces>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2010-01-23T23:19:00Z</dcterms:created>
  <dcterms:modified xsi:type="dcterms:W3CDTF">2010-01-23T23:22:00Z</dcterms:modified>
</cp:coreProperties>
</file>